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eastAsia="宋体" w:cs="宋体"/>
          <w:b/>
          <w:bCs/>
          <w:sz w:val="44"/>
          <w:szCs w:val="44"/>
          <w:u w:val="none"/>
          <w:lang w:val="en-US" w:eastAsia="zh-CN"/>
        </w:rPr>
      </w:pPr>
      <w:r>
        <w:rPr>
          <w:rFonts w:hint="eastAsia" w:ascii="宋体" w:hAnsi="宋体" w:eastAsia="宋体" w:cs="宋体"/>
          <w:b/>
          <w:bCs/>
          <w:sz w:val="44"/>
          <w:szCs w:val="44"/>
          <w:u w:val="none"/>
          <w:lang w:val="en-US" w:eastAsia="zh-CN"/>
        </w:rPr>
        <w:t>网拍款项到账通知</w:t>
      </w:r>
    </w:p>
    <w:tbl>
      <w:tblPr>
        <w:tblStyle w:val="4"/>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270"/>
        <w:gridCol w:w="2278"/>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094" w:type="dxa"/>
          </w:tcPr>
          <w:p>
            <w:pPr>
              <w:keepNext w:val="0"/>
              <w:keepLines w:val="0"/>
              <w:pageBreakBefore w:val="0"/>
              <w:widowControl w:val="0"/>
              <w:shd w:val="clear"/>
              <w:kinsoku/>
              <w:wordWrap/>
              <w:overflowPunct/>
              <w:topLinePunct w:val="0"/>
              <w:autoSpaceDE/>
              <w:autoSpaceDN/>
              <w:bidi w:val="0"/>
              <w:adjustRightInd/>
              <w:snapToGrid/>
              <w:spacing w:line="720" w:lineRule="auto"/>
              <w:jc w:val="left"/>
              <w:textAlignment w:val="auto"/>
              <w:outlineLvl w:val="9"/>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执行员</w:t>
            </w:r>
          </w:p>
        </w:tc>
        <w:tc>
          <w:tcPr>
            <w:tcW w:w="6282" w:type="dxa"/>
            <w:gridSpan w:val="3"/>
          </w:tcPr>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宋体" w:hAnsi="宋体" w:eastAsia="宋体" w:cs="宋体"/>
                <w:b/>
                <w:bCs/>
                <w:sz w:val="44"/>
                <w:szCs w:val="4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2094" w:type="dxa"/>
          </w:tcPr>
          <w:p>
            <w:pPr>
              <w:keepNext w:val="0"/>
              <w:keepLines w:val="0"/>
              <w:pageBreakBefore w:val="0"/>
              <w:widowControl w:val="0"/>
              <w:shd w:val="clear"/>
              <w:kinsoku/>
              <w:wordWrap/>
              <w:overflowPunct/>
              <w:topLinePunct w:val="0"/>
              <w:autoSpaceDE/>
              <w:autoSpaceDN/>
              <w:bidi w:val="0"/>
              <w:adjustRightInd/>
              <w:snapToGrid/>
              <w:spacing w:line="720" w:lineRule="auto"/>
              <w:jc w:val="left"/>
              <w:textAlignment w:val="auto"/>
              <w:outlineLvl w:val="9"/>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执行案号</w:t>
            </w:r>
          </w:p>
        </w:tc>
        <w:tc>
          <w:tcPr>
            <w:tcW w:w="6282" w:type="dxa"/>
            <w:gridSpan w:val="3"/>
          </w:tcPr>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宋体" w:hAnsi="宋体" w:eastAsia="宋体" w:cs="宋体"/>
                <w:b/>
                <w:bCs/>
                <w:sz w:val="44"/>
                <w:szCs w:val="4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trPr>
        <w:tc>
          <w:tcPr>
            <w:tcW w:w="2094" w:type="dxa"/>
          </w:tcPr>
          <w:p>
            <w:pPr>
              <w:keepNext w:val="0"/>
              <w:keepLines w:val="0"/>
              <w:pageBreakBefore w:val="0"/>
              <w:widowControl w:val="0"/>
              <w:shd w:val="clear"/>
              <w:kinsoku/>
              <w:wordWrap/>
              <w:overflowPunct/>
              <w:topLinePunct w:val="0"/>
              <w:autoSpaceDE/>
              <w:autoSpaceDN/>
              <w:bidi w:val="0"/>
              <w:adjustRightInd/>
              <w:snapToGrid/>
              <w:spacing w:line="720" w:lineRule="auto"/>
              <w:jc w:val="left"/>
              <w:textAlignment w:val="auto"/>
              <w:outlineLvl w:val="9"/>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拍卖（变卖）标的物</w:t>
            </w:r>
          </w:p>
        </w:tc>
        <w:tc>
          <w:tcPr>
            <w:tcW w:w="6282" w:type="dxa"/>
            <w:gridSpan w:val="3"/>
          </w:tcPr>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宋体" w:hAnsi="宋体" w:eastAsia="宋体" w:cs="宋体"/>
                <w:b/>
                <w:bCs/>
                <w:sz w:val="44"/>
                <w:szCs w:val="4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tcPr>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来款日期</w:t>
            </w:r>
          </w:p>
        </w:tc>
        <w:tc>
          <w:tcPr>
            <w:tcW w:w="1270" w:type="dxa"/>
          </w:tcPr>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来款人</w:t>
            </w:r>
          </w:p>
        </w:tc>
        <w:tc>
          <w:tcPr>
            <w:tcW w:w="2278" w:type="dxa"/>
          </w:tcPr>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来款金额</w:t>
            </w:r>
          </w:p>
        </w:tc>
        <w:tc>
          <w:tcPr>
            <w:tcW w:w="2734" w:type="dxa"/>
            <w:vAlign w:val="top"/>
          </w:tcPr>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tcPr>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vertAlign w:val="baseline"/>
                <w:lang w:val="en-US" w:eastAsia="zh-CN"/>
              </w:rPr>
            </w:pPr>
          </w:p>
        </w:tc>
        <w:tc>
          <w:tcPr>
            <w:tcW w:w="1270" w:type="dxa"/>
          </w:tcPr>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vertAlign w:val="baseline"/>
                <w:lang w:val="en-US" w:eastAsia="zh-CN"/>
              </w:rPr>
              <w:t>支付宝</w:t>
            </w:r>
          </w:p>
        </w:tc>
        <w:tc>
          <w:tcPr>
            <w:tcW w:w="2278" w:type="dxa"/>
          </w:tcPr>
          <w:p>
            <w:pPr>
              <w:keepNext w:val="0"/>
              <w:keepLines w:val="0"/>
              <w:pageBreakBefore w:val="0"/>
              <w:widowControl w:val="0"/>
              <w:shd w:val="clear"/>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24"/>
                <w:szCs w:val="24"/>
                <w:u w:val="none"/>
                <w:vertAlign w:val="baseline"/>
                <w:lang w:val="en-US" w:eastAsia="zh-CN"/>
              </w:rPr>
              <w:t>保证金        元</w:t>
            </w:r>
          </w:p>
        </w:tc>
        <w:tc>
          <w:tcPr>
            <w:tcW w:w="2734" w:type="dxa"/>
          </w:tcPr>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24"/>
                <w:szCs w:val="24"/>
                <w:u w:val="none"/>
                <w:vertAlign w:val="baseline"/>
                <w:lang w:val="en-US" w:eastAsia="zh-CN"/>
              </w:rPr>
              <w:t>本案保证金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4" w:type="dxa"/>
          </w:tcPr>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vertAlign w:val="baseline"/>
                <w:lang w:val="en-US" w:eastAsia="zh-CN"/>
              </w:rPr>
            </w:pPr>
          </w:p>
        </w:tc>
        <w:tc>
          <w:tcPr>
            <w:tcW w:w="1270" w:type="dxa"/>
          </w:tcPr>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vertAlign w:val="baseline"/>
                <w:lang w:val="en-US" w:eastAsia="zh-CN"/>
              </w:rPr>
            </w:pPr>
          </w:p>
        </w:tc>
        <w:tc>
          <w:tcPr>
            <w:tcW w:w="2278" w:type="dxa"/>
          </w:tcPr>
          <w:p>
            <w:pPr>
              <w:keepNext w:val="0"/>
              <w:keepLines w:val="0"/>
              <w:pageBreakBefore w:val="0"/>
              <w:widowControl w:val="0"/>
              <w:shd w:val="clear"/>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尾款        元</w:t>
            </w:r>
          </w:p>
        </w:tc>
        <w:tc>
          <w:tcPr>
            <w:tcW w:w="2734" w:type="dxa"/>
          </w:tcPr>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24"/>
                <w:szCs w:val="24"/>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特别提醒：为防止财务发款时出错，请执行员在汇款通知上务必备注“</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年</w:t>
      </w:r>
      <w:r>
        <w:rPr>
          <w:rFonts w:hint="eastAsia" w:ascii="仿宋" w:hAnsi="仿宋" w:eastAsia="仿宋" w:cs="仿宋"/>
          <w:b/>
          <w:bCs/>
          <w:sz w:val="32"/>
          <w:szCs w:val="32"/>
          <w:u w:val="single"/>
          <w:lang w:val="en-US" w:eastAsia="zh-CN"/>
        </w:rPr>
        <w:tab/>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月</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lang w:val="en-US" w:eastAsia="zh-CN"/>
        </w:rPr>
        <w:tab/>
      </w:r>
      <w:r>
        <w:rPr>
          <w:rFonts w:hint="eastAsia" w:ascii="仿宋" w:hAnsi="仿宋" w:eastAsia="仿宋" w:cs="仿宋"/>
          <w:b/>
          <w:bCs/>
          <w:sz w:val="32"/>
          <w:szCs w:val="32"/>
          <w:u w:val="none"/>
          <w:lang w:val="en-US" w:eastAsia="zh-CN"/>
        </w:rPr>
        <w:t>日支付宝到账款项中本案仅支付</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元”</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本通知书仅适用于多件拍品同一天成交后多笔保证金同时汇入法院账上的情况。</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273DE"/>
    <w:rsid w:val="6D535020"/>
    <w:rsid w:val="77027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Unicode MS" w:hAnsi="Arial Unicode MS" w:eastAsia="Arial Unicode MS" w:cs="Arial Unicode M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Arial Unicode MS" w:hAnsi="Arial Unicode MS" w:eastAsia="Arial Unicode MS" w:cs="Arial Unicode MS"/>
      <w:color w:val="000000"/>
      <w:spacing w:val="0"/>
      <w:w w:val="100"/>
      <w:position w:val="0"/>
      <w:sz w:val="24"/>
      <w:szCs w:val="24"/>
      <w:lang w:val="zh-CN" w:eastAsia="zh-CN" w:bidi="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2018-11-02T08:07:00Z</dcterms:created>
  <dc:creator>樊留源</dc:creator>
  <cp:lastModifiedBy>樊留源</cp:lastModifiedBy>
  <dcterms:modified xsi:type="dcterms:W3CDTF">2018-11-02T08:07:51Z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